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9001BD">
        <w:rPr>
          <w:rFonts w:eastAsia="Times New Roman" w:cs="Times New Roman"/>
          <w:b/>
          <w:bCs/>
          <w:sz w:val="24"/>
          <w:szCs w:val="24"/>
        </w:rPr>
        <w:t>November 10-14</w:t>
      </w:r>
      <w:r w:rsidR="00C0112B">
        <w:rPr>
          <w:rFonts w:eastAsia="Times New Roman" w:cs="Times New Roman"/>
          <w:b/>
          <w:bCs/>
          <w:sz w:val="24"/>
          <w:szCs w:val="24"/>
        </w:rPr>
        <w:t>,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2014</w:t>
      </w:r>
    </w:p>
    <w:tbl>
      <w:tblPr>
        <w:tblpPr w:leftFromText="180" w:rightFromText="180" w:vertAnchor="text" w:tblpX="-260" w:tblpY="1"/>
        <w:tblOverlap w:val="never"/>
        <w:tblW w:w="146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6" w:type="dxa"/>
            <w:gridSpan w:val="5"/>
            <w:hideMark/>
          </w:tcPr>
          <w:p w:rsidR="00FD0EC9" w:rsidRPr="002E1DF5" w:rsidRDefault="00EF1114" w:rsidP="00C00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>SS8H4 The student will describe the impact of events that led to the ratification of the United States Constitution and the Bill of Rights.</w:t>
            </w:r>
          </w:p>
          <w:p w:rsidR="00EF1114" w:rsidRPr="002E1DF5" w:rsidRDefault="00EF1114" w:rsidP="00006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E1DF5">
              <w:rPr>
                <w:rFonts w:eastAsia="Times New Roman" w:cs="Times New Roman"/>
                <w:sz w:val="20"/>
                <w:szCs w:val="20"/>
              </w:rPr>
              <w:t>Analyze the strengths and weaknesses of both the Georgia Constitution of 1777 and the Articles of Confederation and explain how weaknesses in the Articles of Confederation led to a need to revise the Articles.</w:t>
            </w:r>
          </w:p>
          <w:p w:rsidR="0035518B" w:rsidRPr="0066549E" w:rsidRDefault="0035518B" w:rsidP="00006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6549E">
              <w:rPr>
                <w:rFonts w:eastAsia="Times New Roman" w:cs="Times New Roman"/>
                <w:sz w:val="20"/>
                <w:szCs w:val="20"/>
              </w:rPr>
              <w:t>Describe the role of Georgia at the Constitutional Convention of 1787; include the role of Abraham Baldwin and William Few, and reasons why Georgia ratified the new constitution.</w:t>
            </w:r>
            <w:r w:rsidR="0066549E" w:rsidRPr="006654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F14E5" w:rsidRPr="0066549E" w:rsidRDefault="0035518B" w:rsidP="0066549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6" w:type="dxa"/>
            <w:gridSpan w:val="5"/>
            <w:hideMark/>
          </w:tcPr>
          <w:p w:rsidR="007F5FF1" w:rsidRPr="002E1DF5" w:rsidRDefault="000B1C08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What were the strengths and weaknesses of the Georgia Constitution of 1777 and how were these weaknesses addressed? (H4a)</w:t>
            </w:r>
          </w:p>
          <w:p w:rsidR="002717F4" w:rsidRPr="002E1DF5" w:rsidRDefault="002717F4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How did past experien</w:t>
            </w:r>
            <w:r w:rsidR="00CA0A94" w:rsidRPr="002E1DF5">
              <w:rPr>
                <w:rFonts w:asciiTheme="minorHAnsi" w:hAnsiTheme="minorHAnsi"/>
                <w:sz w:val="20"/>
                <w:szCs w:val="20"/>
              </w:rPr>
              <w:t>ce of the patriots with England’</w:t>
            </w:r>
            <w:r w:rsidRPr="002E1DF5">
              <w:rPr>
                <w:rFonts w:asciiTheme="minorHAnsi" w:hAnsiTheme="minorHAnsi"/>
                <w:sz w:val="20"/>
                <w:szCs w:val="20"/>
              </w:rPr>
              <w:t xml:space="preserve">s monarchy influence their decisions regarding a new form of government? (H3a, H4a,b) </w:t>
            </w:r>
          </w:p>
          <w:p w:rsidR="002717F4" w:rsidRPr="0009251C" w:rsidRDefault="002717F4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9251C">
              <w:rPr>
                <w:rFonts w:asciiTheme="minorHAnsi" w:hAnsiTheme="minorHAnsi"/>
                <w:sz w:val="20"/>
                <w:szCs w:val="20"/>
              </w:rPr>
              <w:t>What persons/groups/events were significant to the development of the new government and how? (H3b, H4b)</w:t>
            </w:r>
            <w:r w:rsidR="002E1DF5" w:rsidRPr="0009251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B1C08" w:rsidRPr="00467FA1" w:rsidRDefault="000B1C08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F14E5" w:rsidRPr="00CE128E" w:rsidRDefault="007F14E5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C0036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6" w:type="dxa"/>
            <w:gridSpan w:val="5"/>
            <w:hideMark/>
          </w:tcPr>
          <w:p w:rsidR="00FA7A1E" w:rsidRPr="002E1DF5" w:rsidRDefault="00FA7A1E" w:rsidP="00C00360">
            <w:pPr>
              <w:spacing w:after="0"/>
              <w:rPr>
                <w:sz w:val="20"/>
                <w:szCs w:val="20"/>
              </w:rPr>
            </w:pPr>
            <w:r w:rsidRPr="002E1DF5">
              <w:rPr>
                <w:b/>
                <w:sz w:val="20"/>
                <w:szCs w:val="20"/>
              </w:rPr>
              <w:t>Governance:</w:t>
            </w:r>
            <w:r w:rsidRPr="002E1DF5">
              <w:rPr>
                <w:sz w:val="20"/>
                <w:szCs w:val="20"/>
              </w:rPr>
              <w:t xml:space="preserve"> The student will understand that as a society increases in complexity and interacts with other societies, the complexity of the government also increases.</w:t>
            </w:r>
          </w:p>
          <w:p w:rsidR="007F14E5" w:rsidRPr="002E1DF5" w:rsidRDefault="00182466" w:rsidP="00C45F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Individuals, Groups, Institutions: </w:t>
            </w:r>
            <w:r w:rsidRPr="002E1DF5">
              <w:rPr>
                <w:rFonts w:eastAsia="Times New Roman" w:cs="Times New Roman"/>
                <w:sz w:val="20"/>
                <w:szCs w:val="20"/>
              </w:rPr>
              <w:t>The student will understand that the actions of individuals, groups, and/or institutions affect society through intended and unintended consequences.</w:t>
            </w: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11906" w:type="dxa"/>
            <w:gridSpan w:val="5"/>
            <w:hideMark/>
          </w:tcPr>
          <w:p w:rsidR="00542988" w:rsidRDefault="00311908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11908">
              <w:rPr>
                <w:rFonts w:eastAsia="Times New Roman" w:cs="Times New Roman"/>
                <w:b/>
                <w:bCs/>
                <w:sz w:val="20"/>
                <w:szCs w:val="20"/>
              </w:rPr>
              <w:t>H4a: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CA0A94" w:rsidRPr="002E1DF5">
              <w:rPr>
                <w:rFonts w:eastAsia="Times New Roman" w:cs="Times New Roman"/>
                <w:bCs/>
                <w:sz w:val="20"/>
                <w:szCs w:val="20"/>
              </w:rPr>
              <w:t xml:space="preserve">Articles of Confederation, Ratify/Ratification, </w:t>
            </w:r>
            <w:r w:rsidR="005247A2" w:rsidRPr="002E1DF5">
              <w:rPr>
                <w:rFonts w:eastAsia="Times New Roman" w:cs="Times New Roman"/>
                <w:bCs/>
                <w:sz w:val="20"/>
                <w:szCs w:val="20"/>
              </w:rPr>
              <w:t>Constitution</w:t>
            </w:r>
            <w:r w:rsidR="002E1DF5">
              <w:rPr>
                <w:rFonts w:eastAsia="Times New Roman" w:cs="Times New Roman"/>
                <w:bCs/>
                <w:sz w:val="20"/>
                <w:szCs w:val="20"/>
              </w:rPr>
              <w:t>, Legislature, Republic, Bicameral</w:t>
            </w:r>
            <w:r w:rsidR="00702872">
              <w:rPr>
                <w:rFonts w:eastAsia="Times New Roman" w:cs="Times New Roman"/>
                <w:bCs/>
                <w:sz w:val="20"/>
                <w:szCs w:val="20"/>
              </w:rPr>
              <w:t xml:space="preserve"> Legislature</w:t>
            </w:r>
            <w:r w:rsidR="002E1DF5">
              <w:rPr>
                <w:rFonts w:eastAsia="Times New Roman" w:cs="Times New Roman"/>
                <w:bCs/>
                <w:sz w:val="20"/>
                <w:szCs w:val="20"/>
              </w:rPr>
              <w:t>, Confederation, Amend</w:t>
            </w:r>
            <w:r w:rsidR="009F1E46">
              <w:rPr>
                <w:rFonts w:eastAsia="Times New Roman" w:cs="Times New Roman"/>
                <w:bCs/>
                <w:sz w:val="20"/>
                <w:szCs w:val="20"/>
              </w:rPr>
              <w:t>, treaty (treaties), amba</w:t>
            </w:r>
            <w:r w:rsidR="00702872">
              <w:rPr>
                <w:rFonts w:eastAsia="Times New Roman" w:cs="Times New Roman"/>
                <w:bCs/>
                <w:sz w:val="20"/>
                <w:szCs w:val="20"/>
              </w:rPr>
              <w:t xml:space="preserve">ssador, Branches of Government, </w:t>
            </w:r>
            <w:r w:rsidR="000701AC">
              <w:rPr>
                <w:rFonts w:eastAsia="Times New Roman" w:cs="Times New Roman"/>
                <w:bCs/>
                <w:sz w:val="20"/>
                <w:szCs w:val="20"/>
              </w:rPr>
              <w:t>Representative</w:t>
            </w:r>
            <w:r w:rsidR="00244C34">
              <w:rPr>
                <w:rFonts w:eastAsia="Times New Roman" w:cs="Times New Roman"/>
                <w:bCs/>
                <w:sz w:val="20"/>
                <w:szCs w:val="20"/>
              </w:rPr>
              <w:t>, Congress</w:t>
            </w:r>
            <w:r w:rsidR="00BF586C">
              <w:rPr>
                <w:rFonts w:eastAsia="Times New Roman" w:cs="Times New Roman"/>
                <w:bCs/>
                <w:sz w:val="20"/>
                <w:szCs w:val="20"/>
              </w:rPr>
              <w:t>, Sovereignty, Unicameral Legislature</w:t>
            </w:r>
          </w:p>
          <w:p w:rsidR="005231FE" w:rsidRDefault="005231FE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311908" w:rsidRPr="002E1DF5" w:rsidRDefault="00311908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11908">
              <w:rPr>
                <w:rFonts w:eastAsia="Times New Roman" w:cs="Times New Roman"/>
                <w:b/>
                <w:bCs/>
                <w:sz w:val="20"/>
                <w:szCs w:val="20"/>
              </w:rPr>
              <w:t>H4b: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Abraham few, William Baldwin, </w:t>
            </w:r>
            <w:r w:rsidR="00BF586C">
              <w:rPr>
                <w:rFonts w:eastAsia="Times New Roman" w:cs="Times New Roman"/>
                <w:bCs/>
                <w:sz w:val="20"/>
                <w:szCs w:val="20"/>
              </w:rPr>
              <w:t>Virginia Plan, Great Compr</w:t>
            </w:r>
            <w:r w:rsidR="005231FE">
              <w:rPr>
                <w:rFonts w:eastAsia="Times New Roman" w:cs="Times New Roman"/>
                <w:bCs/>
                <w:sz w:val="20"/>
                <w:szCs w:val="20"/>
              </w:rPr>
              <w:t>omise, 3/5 Compromise, Slavery</w:t>
            </w:r>
          </w:p>
          <w:p w:rsidR="007F14E5" w:rsidRPr="002E1DF5" w:rsidRDefault="007F14E5" w:rsidP="00C0036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244F5" w:rsidRPr="00D22161" w:rsidTr="00C0036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A7FF1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666E67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5231FE">
              <w:rPr>
                <w:rFonts w:eastAsia="Times New Roman" w:cs="Arial"/>
                <w:b/>
                <w:bCs/>
                <w:sz w:val="20"/>
                <w:szCs w:val="20"/>
              </w:rPr>
              <w:t>Centers/Stations</w:t>
            </w:r>
          </w:p>
          <w:p w:rsidR="005231FE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  <w:r w:rsidR="002A7FF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A7FF1" w:rsidRPr="005231FE">
              <w:rPr>
                <w:rFonts w:eastAsia="Times New Roman" w:cs="Arial"/>
                <w:b/>
                <w:bCs/>
                <w:sz w:val="20"/>
                <w:szCs w:val="20"/>
              </w:rPr>
              <w:t>Independent choice assignments and activities</w:t>
            </w:r>
          </w:p>
          <w:p w:rsidR="005231FE" w:rsidRPr="00D22161" w:rsidRDefault="005231FE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C003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C0036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666E67">
              <w:rPr>
                <w:rFonts w:eastAsia="Times New Roman" w:cs="Arial"/>
                <w:b/>
                <w:bCs/>
                <w:sz w:val="20"/>
                <w:szCs w:val="20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Class </w:t>
            </w:r>
            <w:r w:rsidR="00D22161" w:rsidRPr="00130544">
              <w:rPr>
                <w:rFonts w:eastAsia="Times New Roman" w:cs="Arial"/>
                <w:b/>
                <w:bCs/>
                <w:sz w:val="20"/>
                <w:szCs w:val="20"/>
              </w:rPr>
              <w:t>Presentation</w:t>
            </w:r>
          </w:p>
          <w:p w:rsidR="0085273F" w:rsidRPr="00D22161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231FE">
              <w:rPr>
                <w:rFonts w:eastAsia="Times New Roman" w:cs="Arial"/>
                <w:b/>
                <w:bCs/>
                <w:sz w:val="20"/>
                <w:szCs w:val="20"/>
              </w:rPr>
              <w:t>Test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F86B64">
              <w:rPr>
                <w:rFonts w:eastAsia="Times New Roman" w:cs="Arial"/>
                <w:b/>
                <w:bCs/>
                <w:sz w:val="20"/>
                <w:szCs w:val="20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5231FE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Ti</w:t>
            </w:r>
            <w:r w:rsidR="00D22161" w:rsidRPr="005231FE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cket Out The Door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C00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C0036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6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C0036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6" w:type="dxa"/>
            <w:gridSpan w:val="2"/>
          </w:tcPr>
          <w:p w:rsidR="00305943" w:rsidRDefault="00305943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78490E" w:rsidRPr="00B81C53" w:rsidRDefault="00A761CC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542" w:type="dxa"/>
          </w:tcPr>
          <w:p w:rsidR="00256B55" w:rsidRPr="00256B55" w:rsidRDefault="00256B55" w:rsidP="00256B55">
            <w:pPr>
              <w:rPr>
                <w:sz w:val="20"/>
                <w:szCs w:val="20"/>
              </w:rPr>
            </w:pPr>
            <w:r w:rsidRPr="00256B55">
              <w:rPr>
                <w:sz w:val="20"/>
                <w:szCs w:val="20"/>
              </w:rPr>
              <w:t>Content-based review question/ writing prompt</w:t>
            </w:r>
          </w:p>
          <w:p w:rsidR="00905D41" w:rsidRPr="007F5FF1" w:rsidRDefault="00256B55" w:rsidP="00256B55">
            <w:pPr>
              <w:rPr>
                <w:b/>
                <w:i/>
                <w:sz w:val="20"/>
                <w:szCs w:val="20"/>
              </w:rPr>
            </w:pPr>
            <w:r w:rsidRPr="00256B55">
              <w:rPr>
                <w:sz w:val="20"/>
                <w:szCs w:val="20"/>
              </w:rPr>
              <w:t>Students will complete their warm-up in their notebook on the assigned page.</w:t>
            </w:r>
            <w:r w:rsidRPr="00256B55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658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</w:tr>
      <w:tr w:rsidR="00D22161" w:rsidRPr="00D22161" w:rsidTr="007F5FF1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6" w:type="dxa"/>
            <w:gridSpan w:val="2"/>
          </w:tcPr>
          <w:p w:rsidR="008C7279" w:rsidRPr="00113E04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A105DD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B46D43" w:rsidRPr="00113E04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B46D43" w:rsidRPr="00753FCB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B46D43" w:rsidRPr="008C4D90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B46D43" w:rsidRDefault="00B46D43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AA563B" w:rsidRPr="00A105DD" w:rsidRDefault="00AA563B" w:rsidP="007F5F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9F40EF" w:rsidRPr="00113E04" w:rsidRDefault="00D22161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C0036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53FCB" w:rsidRPr="00113E04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00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2EE" w:rsidRPr="00D22161" w:rsidTr="007F5FF1">
        <w:trPr>
          <w:trHeight w:val="1054"/>
          <w:tblCellSpacing w:w="0" w:type="dxa"/>
        </w:trPr>
        <w:tc>
          <w:tcPr>
            <w:tcW w:w="1733" w:type="dxa"/>
            <w:hideMark/>
          </w:tcPr>
          <w:p w:rsidR="004E12EE" w:rsidRPr="00B81C53" w:rsidRDefault="004E12EE" w:rsidP="004E12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Activities/ Strategies</w:t>
            </w:r>
          </w:p>
        </w:tc>
        <w:tc>
          <w:tcPr>
            <w:tcW w:w="2196" w:type="dxa"/>
            <w:gridSpan w:val="2"/>
          </w:tcPr>
          <w:p w:rsidR="00B46D43" w:rsidRDefault="00B46D43" w:rsidP="000062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E12EE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B46D43" w:rsidRDefault="00B46D43" w:rsidP="000062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last’s week’s 4.5 assessment (American Revolution Unit Test)</w:t>
            </w:r>
          </w:p>
          <w:p w:rsidR="00FD1EFA" w:rsidRDefault="00D86B64" w:rsidP="000062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Lesson Intro: </w:t>
            </w:r>
            <w:r w:rsidR="002B5555">
              <w:rPr>
                <w:rFonts w:eastAsia="Times New Roman" w:cs="Times New Roman"/>
                <w:sz w:val="20"/>
                <w:szCs w:val="20"/>
              </w:rPr>
              <w:t>Small Group Activity. Pretend that you and your group have the task of creating the government for a new country.</w:t>
            </w:r>
            <w:r w:rsidR="00FD1EFA">
              <w:rPr>
                <w:rFonts w:eastAsia="Times New Roman" w:cs="Times New Roman"/>
                <w:sz w:val="20"/>
                <w:szCs w:val="20"/>
              </w:rPr>
              <w:t xml:space="preserve"> Groups will share their answers. Discuss how students had to listen to each other, share ideas, and compromise with each other to come up with their final answers.</w:t>
            </w:r>
            <w:r w:rsidR="009A5CA4">
              <w:rPr>
                <w:rFonts w:eastAsia="Times New Roman" w:cs="Times New Roman"/>
                <w:sz w:val="20"/>
                <w:szCs w:val="20"/>
              </w:rPr>
              <w:t xml:space="preserve"> Also, discuss how students would </w:t>
            </w:r>
            <w:r w:rsidR="009A5CA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have needed more time </w:t>
            </w:r>
            <w:r w:rsidR="00FD1EFA">
              <w:rPr>
                <w:rFonts w:eastAsia="Times New Roman" w:cs="Times New Roman"/>
                <w:sz w:val="20"/>
                <w:szCs w:val="20"/>
              </w:rPr>
              <w:t>(10-15 minutes)</w:t>
            </w:r>
            <w:r w:rsidR="009A5CA4">
              <w:rPr>
                <w:rFonts w:eastAsia="Times New Roman" w:cs="Times New Roman"/>
                <w:sz w:val="20"/>
                <w:szCs w:val="20"/>
              </w:rPr>
              <w:t>.</w:t>
            </w:r>
            <w:r w:rsidR="00FD1EF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B46D43" w:rsidRPr="00FD1EFA" w:rsidRDefault="002B5555" w:rsidP="00FD1E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D1EFA">
              <w:rPr>
                <w:rFonts w:eastAsia="Times New Roman" w:cs="Times New Roman"/>
                <w:sz w:val="20"/>
                <w:szCs w:val="20"/>
              </w:rPr>
              <w:t xml:space="preserve"> Identify</w:t>
            </w:r>
            <w:r w:rsidR="00FD1EFA">
              <w:rPr>
                <w:rFonts w:eastAsia="Times New Roman" w:cs="Times New Roman"/>
                <w:sz w:val="20"/>
                <w:szCs w:val="20"/>
              </w:rPr>
              <w:t xml:space="preserve"> (5 -7 minutes)</w:t>
            </w:r>
            <w:r w:rsidRPr="00FD1EFA">
              <w:rPr>
                <w:rFonts w:eastAsia="Times New Roman" w:cs="Times New Roman"/>
                <w:sz w:val="20"/>
                <w:szCs w:val="20"/>
              </w:rPr>
              <w:t xml:space="preserve"> –</w:t>
            </w:r>
          </w:p>
          <w:p w:rsidR="002B5555" w:rsidRDefault="00E8532D" w:rsidP="0000623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laws for everyone to follow.</w:t>
            </w:r>
          </w:p>
          <w:p w:rsidR="002B5555" w:rsidRDefault="002B5555" w:rsidP="0000623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How the country’s leaders will be chosen.</w:t>
            </w:r>
          </w:p>
          <w:p w:rsidR="00E8532D" w:rsidRDefault="00E8532D" w:rsidP="0000623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How laws will be created.</w:t>
            </w:r>
            <w:r w:rsidR="005231FE">
              <w:rPr>
                <w:rFonts w:eastAsia="Times New Roman" w:cs="Times New Roman"/>
                <w:sz w:val="20"/>
                <w:szCs w:val="20"/>
              </w:rPr>
              <w:t xml:space="preserve"> (DOK 2, 3)</w:t>
            </w:r>
          </w:p>
          <w:p w:rsidR="004E12EE" w:rsidRPr="00FA656F" w:rsidRDefault="00FA656F" w:rsidP="000062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656F">
              <w:rPr>
                <w:rFonts w:eastAsia="Times New Roman" w:cs="Times New Roman"/>
                <w:sz w:val="20"/>
                <w:szCs w:val="20"/>
              </w:rPr>
              <w:t>Begin “A New Government for a New Country” guided reading (secondary source text). Students will work independently to complete the guided reading assignment, select students will be pulled for pull-out groups to work with the teacher.</w:t>
            </w:r>
            <w:r w:rsidR="005231FE">
              <w:rPr>
                <w:rFonts w:eastAsia="Times New Roman" w:cs="Times New Roman"/>
                <w:sz w:val="20"/>
                <w:szCs w:val="20"/>
              </w:rPr>
              <w:t xml:space="preserve"> (DOK 1,2,3)</w:t>
            </w:r>
          </w:p>
        </w:tc>
        <w:tc>
          <w:tcPr>
            <w:tcW w:w="2542" w:type="dxa"/>
          </w:tcPr>
          <w:p w:rsidR="004E12EE" w:rsidRDefault="00B46D43" w:rsidP="000062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46D43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4B75E8" w:rsidRPr="00E8532D" w:rsidRDefault="004B75E8" w:rsidP="0000623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532D">
              <w:rPr>
                <w:rFonts w:eastAsia="Times New Roman" w:cs="Times New Roman"/>
                <w:sz w:val="20"/>
                <w:szCs w:val="20"/>
              </w:rPr>
              <w:t>Begin Cornell Notes &amp; Summary:  A  New Government for a New Country</w:t>
            </w:r>
            <w:r>
              <w:rPr>
                <w:rFonts w:eastAsia="Times New Roman" w:cs="Times New Roman"/>
                <w:sz w:val="20"/>
                <w:szCs w:val="20"/>
              </w:rPr>
              <w:t>, Part 1</w:t>
            </w:r>
            <w:r w:rsidR="00031F3C">
              <w:rPr>
                <w:rFonts w:eastAsia="Times New Roman" w:cs="Times New Roman"/>
                <w:sz w:val="20"/>
                <w:szCs w:val="20"/>
              </w:rPr>
              <w:t xml:space="preserve"> (focus – weaknesses of the Articles of Confederation)</w:t>
            </w:r>
            <w:r w:rsidRPr="00E8532D">
              <w:rPr>
                <w:rFonts w:eastAsia="Times New Roman" w:cs="Times New Roman"/>
                <w:sz w:val="20"/>
                <w:szCs w:val="20"/>
              </w:rPr>
              <w:t>;</w:t>
            </w:r>
          </w:p>
          <w:p w:rsidR="004B75E8" w:rsidRDefault="004B75E8" w:rsidP="004B75E8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TOD (will be graded):  Students will review notes, create topics, and questions, and write their summary before leaving class.</w:t>
            </w:r>
            <w:r w:rsidR="005231FE">
              <w:rPr>
                <w:rFonts w:eastAsia="Times New Roman" w:cs="Times New Roman"/>
                <w:sz w:val="20"/>
                <w:szCs w:val="20"/>
              </w:rPr>
              <w:t xml:space="preserve"> (DOK 1,2,3)</w:t>
            </w:r>
          </w:p>
          <w:p w:rsidR="00B46D43" w:rsidRPr="00B46D43" w:rsidRDefault="00B46D43" w:rsidP="00F3174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4E12EE" w:rsidRDefault="00D86B64" w:rsidP="0000623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="004E12EE" w:rsidRPr="00D86B64">
              <w:rPr>
                <w:rFonts w:eastAsia="Times New Roman" w:cs="Times New Roman"/>
                <w:sz w:val="20"/>
                <w:szCs w:val="20"/>
              </w:rPr>
              <w:t>omplete warm-up activity/question</w:t>
            </w:r>
          </w:p>
          <w:p w:rsidR="00031F3C" w:rsidRDefault="00BA725B" w:rsidP="0000623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Check and review of guided reading questions.  </w:t>
            </w:r>
          </w:p>
          <w:p w:rsidR="00D86B64" w:rsidRDefault="004B75E8" w:rsidP="0000623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</w:t>
            </w:r>
            <w:r w:rsidR="00F31742">
              <w:rPr>
                <w:rFonts w:eastAsia="Times New Roman" w:cs="Times New Roman"/>
                <w:sz w:val="20"/>
                <w:szCs w:val="20"/>
              </w:rPr>
              <w:t xml:space="preserve">inish Cornell Notes and Summary: </w:t>
            </w:r>
            <w:r w:rsidR="00F31742" w:rsidRPr="00E8532D">
              <w:rPr>
                <w:rFonts w:eastAsia="Times New Roman" w:cs="Times New Roman"/>
                <w:sz w:val="20"/>
                <w:szCs w:val="20"/>
              </w:rPr>
              <w:t>A New Government for a New Country</w:t>
            </w:r>
            <w:r w:rsidR="00F31742">
              <w:rPr>
                <w:rFonts w:eastAsia="Times New Roman" w:cs="Times New Roman"/>
                <w:sz w:val="20"/>
                <w:szCs w:val="20"/>
              </w:rPr>
              <w:t>, Part 2</w:t>
            </w:r>
            <w:r w:rsidR="00031F3C">
              <w:rPr>
                <w:rFonts w:eastAsia="Times New Roman" w:cs="Times New Roman"/>
                <w:sz w:val="20"/>
                <w:szCs w:val="20"/>
              </w:rPr>
              <w:t xml:space="preserve"> (focus – weaknesses of the Georgia Constitution of 1777)</w:t>
            </w:r>
            <w:r w:rsidR="00F31742">
              <w:rPr>
                <w:rFonts w:eastAsia="Times New Roman" w:cs="Times New Roman"/>
                <w:sz w:val="20"/>
                <w:szCs w:val="20"/>
              </w:rPr>
              <w:t xml:space="preserve">; </w:t>
            </w:r>
            <w:r w:rsidR="00F31742" w:rsidRPr="00F31742">
              <w:rPr>
                <w:rFonts w:eastAsia="Times New Roman" w:cs="Times New Roman"/>
                <w:sz w:val="20"/>
                <w:szCs w:val="20"/>
              </w:rPr>
              <w:t>TOD (will be graded):  Students will review notes, create topics, and questions, and write their summary before leaving class.</w:t>
            </w:r>
          </w:p>
          <w:p w:rsidR="005231FE" w:rsidRDefault="005231FE" w:rsidP="00006237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Introduce tonight’s homework – Guided Reading, The Constitutional Convention. (DOK 1,2,3)</w:t>
            </w:r>
          </w:p>
          <w:p w:rsidR="00031F3C" w:rsidRPr="00D86B64" w:rsidRDefault="00031F3C" w:rsidP="00031F3C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4E12EE" w:rsidRPr="00E379CE" w:rsidRDefault="004E12EE" w:rsidP="004E12E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3C2249" w:rsidRPr="00443697" w:rsidRDefault="00443697" w:rsidP="0044369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National History Day Work Time in the lab/media center</w:t>
            </w:r>
          </w:p>
          <w:p w:rsidR="00EF1114" w:rsidRPr="00031F3C" w:rsidRDefault="00EF1114" w:rsidP="00031F3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3C2249" w:rsidRPr="00031F3C" w:rsidRDefault="003C2249" w:rsidP="0000623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31F3C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3C2249" w:rsidRDefault="00BA725B" w:rsidP="003C2249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="003C2249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BA725B" w:rsidRDefault="00BA725B" w:rsidP="0000623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Pr="00BA725B">
              <w:rPr>
                <w:rFonts w:eastAsia="Times New Roman" w:cs="Times New Roman"/>
                <w:sz w:val="20"/>
                <w:szCs w:val="20"/>
              </w:rPr>
              <w:t xml:space="preserve">heck and review of guided reading questions.  </w:t>
            </w:r>
          </w:p>
          <w:p w:rsidR="005231FE" w:rsidRPr="00BA725B" w:rsidRDefault="005231FE" w:rsidP="0000623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Submit National History Day Research, 5 different sources.</w:t>
            </w:r>
          </w:p>
          <w:p w:rsidR="005231FE" w:rsidRDefault="005231FE" w:rsidP="0000623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Lesson Hook – Students will watch </w:t>
            </w:r>
            <w:r>
              <w:t>“</w:t>
            </w:r>
            <w:r w:rsidRPr="005231FE">
              <w:rPr>
                <w:rFonts w:eastAsia="Times New Roman" w:cs="Times New Roman"/>
                <w:sz w:val="20"/>
                <w:szCs w:val="20"/>
              </w:rPr>
              <w:t>The Birth of The Constitution: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231FE">
              <w:rPr>
                <w:rFonts w:eastAsia="Times New Roman" w:cs="Times New Roman"/>
                <w:sz w:val="20"/>
                <w:szCs w:val="20"/>
              </w:rPr>
              <w:t>This is America Charlie Brown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”. </w:t>
            </w:r>
          </w:p>
          <w:p w:rsidR="008460E8" w:rsidRPr="0045397F" w:rsidRDefault="00443697" w:rsidP="0000623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532D">
              <w:rPr>
                <w:rFonts w:eastAsia="Times New Roman" w:cs="Times New Roman"/>
                <w:sz w:val="20"/>
                <w:szCs w:val="20"/>
              </w:rPr>
              <w:t xml:space="preserve">Begin Cornell Notes &amp; Summary:  </w:t>
            </w:r>
            <w:r w:rsidR="00FF5B8B">
              <w:t xml:space="preserve"> </w:t>
            </w:r>
            <w:r w:rsidR="00FF5B8B" w:rsidRPr="00FF5B8B">
              <w:rPr>
                <w:rFonts w:eastAsia="Times New Roman" w:cs="Times New Roman"/>
                <w:sz w:val="20"/>
                <w:szCs w:val="20"/>
              </w:rPr>
              <w:t xml:space="preserve">A New Government for a New Country, Part </w:t>
            </w:r>
            <w:r w:rsidR="00FF5B8B">
              <w:rPr>
                <w:rFonts w:eastAsia="Times New Roman" w:cs="Times New Roman"/>
                <w:sz w:val="20"/>
                <w:szCs w:val="20"/>
              </w:rPr>
              <w:t>3</w:t>
            </w:r>
            <w:r w:rsidR="00FF5B8B" w:rsidRPr="00FF5B8B">
              <w:rPr>
                <w:rFonts w:eastAsia="Times New Roman" w:cs="Times New Roman"/>
                <w:sz w:val="20"/>
                <w:szCs w:val="20"/>
              </w:rPr>
              <w:t xml:space="preserve"> (focus – </w:t>
            </w:r>
            <w:r w:rsidR="00FF5B8B">
              <w:rPr>
                <w:rFonts w:eastAsia="Times New Roman" w:cs="Times New Roman"/>
                <w:sz w:val="20"/>
                <w:szCs w:val="20"/>
              </w:rPr>
              <w:t>Constitutional Convention – Great Compromise, 3/5 Compromise</w:t>
            </w:r>
            <w:r w:rsidR="00FF5B8B" w:rsidRPr="00FF5B8B">
              <w:rPr>
                <w:rFonts w:eastAsia="Times New Roman" w:cs="Times New Roman"/>
                <w:sz w:val="20"/>
                <w:szCs w:val="20"/>
              </w:rPr>
              <w:t xml:space="preserve">); TOD (will be graded):  Students will review notes, create topics, and questions, and write </w:t>
            </w:r>
            <w:r w:rsidR="00FF5B8B" w:rsidRPr="00FF5B8B">
              <w:rPr>
                <w:rFonts w:eastAsia="Times New Roman" w:cs="Times New Roman"/>
                <w:sz w:val="20"/>
                <w:szCs w:val="20"/>
              </w:rPr>
              <w:lastRenderedPageBreak/>
              <w:t>their summary before leaving class.</w:t>
            </w:r>
            <w:r w:rsidR="005231FE">
              <w:rPr>
                <w:rFonts w:eastAsia="Times New Roman" w:cs="Times New Roman"/>
                <w:sz w:val="20"/>
                <w:szCs w:val="20"/>
              </w:rPr>
              <w:t xml:space="preserve"> (DOK 1,2,3)</w:t>
            </w:r>
          </w:p>
        </w:tc>
      </w:tr>
      <w:tr w:rsidR="004E12EE" w:rsidRPr="00D22161" w:rsidTr="00C00360">
        <w:trPr>
          <w:trHeight w:val="1038"/>
          <w:tblCellSpacing w:w="0" w:type="dxa"/>
        </w:trPr>
        <w:tc>
          <w:tcPr>
            <w:tcW w:w="1733" w:type="dxa"/>
            <w:hideMark/>
          </w:tcPr>
          <w:p w:rsidR="004E12EE" w:rsidRPr="00B81C53" w:rsidRDefault="004E12EE" w:rsidP="004E12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6" w:type="dxa"/>
            <w:gridSpan w:val="2"/>
          </w:tcPr>
          <w:p w:rsidR="004E12EE" w:rsidRDefault="009A5CA4" w:rsidP="004E12EE">
            <w:pPr>
              <w:jc w:val="center"/>
              <w:rPr>
                <w:sz w:val="20"/>
                <w:szCs w:val="20"/>
              </w:rPr>
            </w:pPr>
            <w:r w:rsidRPr="009A5CA4">
              <w:rPr>
                <w:sz w:val="20"/>
                <w:szCs w:val="20"/>
              </w:rPr>
              <w:t>Groups Activity</w:t>
            </w:r>
          </w:p>
          <w:p w:rsidR="003C2249" w:rsidRPr="009A5CA4" w:rsidRDefault="003C2249" w:rsidP="004E12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Small group reading, pull-out groups.</w:t>
            </w:r>
          </w:p>
        </w:tc>
        <w:tc>
          <w:tcPr>
            <w:tcW w:w="2542" w:type="dxa"/>
          </w:tcPr>
          <w:p w:rsidR="004E12EE" w:rsidRPr="00B81C53" w:rsidRDefault="005231FE" w:rsidP="005231F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Buddy Notes Review – work with a partner to review notes and write summary</w:t>
            </w:r>
          </w:p>
        </w:tc>
        <w:tc>
          <w:tcPr>
            <w:tcW w:w="2775" w:type="dxa"/>
          </w:tcPr>
          <w:p w:rsidR="004E12EE" w:rsidRDefault="005231FE" w:rsidP="004E12EE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Study Buddy Notes Review – work with a partner to review notes and write summary</w:t>
            </w:r>
          </w:p>
        </w:tc>
        <w:tc>
          <w:tcPr>
            <w:tcW w:w="2658" w:type="dxa"/>
          </w:tcPr>
          <w:p w:rsidR="004E12EE" w:rsidRDefault="004E12EE" w:rsidP="004E12EE">
            <w:pPr>
              <w:jc w:val="center"/>
            </w:pPr>
          </w:p>
        </w:tc>
        <w:tc>
          <w:tcPr>
            <w:tcW w:w="2775" w:type="dxa"/>
          </w:tcPr>
          <w:p w:rsidR="004E12EE" w:rsidRPr="000E2A74" w:rsidRDefault="005231FE" w:rsidP="000E2A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Study Buddy Notes Review – work with a partner to review notes and write summary</w:t>
            </w:r>
          </w:p>
        </w:tc>
      </w:tr>
      <w:tr w:rsidR="003F4B7F" w:rsidRPr="00D22161" w:rsidTr="00C00360">
        <w:trPr>
          <w:trHeight w:val="926"/>
          <w:tblCellSpacing w:w="0" w:type="dxa"/>
        </w:trPr>
        <w:tc>
          <w:tcPr>
            <w:tcW w:w="1733" w:type="dxa"/>
            <w:hideMark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6" w:type="dxa"/>
            <w:gridSpan w:val="2"/>
          </w:tcPr>
          <w:p w:rsidR="003F4B7F" w:rsidRPr="00B81C53" w:rsidRDefault="00A31958" w:rsidP="005231FE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1746">
              <w:rPr>
                <w:rFonts w:eastAsia="Times New Roman" w:cs="Times New Roman"/>
                <w:sz w:val="20"/>
                <w:szCs w:val="20"/>
              </w:rPr>
              <w:t xml:space="preserve">AVID Strategy: </w:t>
            </w:r>
            <w:r>
              <w:rPr>
                <w:rFonts w:eastAsia="Times New Roman" w:cs="Times New Roman"/>
                <w:sz w:val="20"/>
                <w:szCs w:val="20"/>
              </w:rPr>
              <w:t>Guided Reading, reading strategies</w:t>
            </w:r>
          </w:p>
        </w:tc>
        <w:tc>
          <w:tcPr>
            <w:tcW w:w="2542" w:type="dxa"/>
          </w:tcPr>
          <w:p w:rsidR="003F4B7F" w:rsidRDefault="00A31958" w:rsidP="005231FE">
            <w:pPr>
              <w:jc w:val="center"/>
            </w:pPr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</w:t>
            </w:r>
          </w:p>
        </w:tc>
        <w:tc>
          <w:tcPr>
            <w:tcW w:w="2775" w:type="dxa"/>
          </w:tcPr>
          <w:p w:rsidR="003F4B7F" w:rsidRDefault="004E12EE" w:rsidP="005231FE">
            <w:pPr>
              <w:jc w:val="center"/>
            </w:pPr>
            <w:r w:rsidRPr="003E1746">
              <w:rPr>
                <w:rFonts w:eastAsia="Times New Roman" w:cs="Times New Roman"/>
                <w:sz w:val="20"/>
                <w:szCs w:val="20"/>
              </w:rPr>
              <w:t>AVID Stra</w:t>
            </w:r>
            <w:r w:rsidR="003C2249">
              <w:rPr>
                <w:rFonts w:eastAsia="Times New Roman" w:cs="Times New Roman"/>
                <w:sz w:val="20"/>
                <w:szCs w:val="20"/>
              </w:rPr>
              <w:t>tegy: Cornell Notes &amp; Summary</w:t>
            </w:r>
          </w:p>
        </w:tc>
        <w:tc>
          <w:tcPr>
            <w:tcW w:w="2658" w:type="dxa"/>
          </w:tcPr>
          <w:p w:rsidR="003F4B7F" w:rsidRDefault="003F4B7F" w:rsidP="005231FE">
            <w:pPr>
              <w:jc w:val="center"/>
            </w:pPr>
          </w:p>
        </w:tc>
        <w:tc>
          <w:tcPr>
            <w:tcW w:w="2775" w:type="dxa"/>
          </w:tcPr>
          <w:p w:rsidR="003F4B7F" w:rsidRDefault="005231FE" w:rsidP="005231FE">
            <w:pPr>
              <w:jc w:val="center"/>
            </w:pPr>
            <w:r w:rsidRPr="003E1746">
              <w:rPr>
                <w:rFonts w:eastAsia="Times New Roman" w:cs="Times New Roman"/>
                <w:sz w:val="20"/>
                <w:szCs w:val="20"/>
              </w:rPr>
              <w:t>AVID Stra</w:t>
            </w:r>
            <w:r>
              <w:rPr>
                <w:rFonts w:eastAsia="Times New Roman" w:cs="Times New Roman"/>
                <w:sz w:val="20"/>
                <w:szCs w:val="20"/>
              </w:rPr>
              <w:t>tegy: Cornell Notes &amp; Summary</w:t>
            </w:r>
          </w:p>
        </w:tc>
      </w:tr>
      <w:tr w:rsidR="007D7F2D" w:rsidRPr="00D22161" w:rsidTr="00C00360">
        <w:trPr>
          <w:trHeight w:val="408"/>
          <w:tblCellSpacing w:w="0" w:type="dxa"/>
        </w:trPr>
        <w:tc>
          <w:tcPr>
            <w:tcW w:w="1733" w:type="dxa"/>
          </w:tcPr>
          <w:p w:rsidR="007D7F2D" w:rsidRPr="00B81C53" w:rsidRDefault="007D7F2D" w:rsidP="007D7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6" w:type="dxa"/>
            <w:gridSpan w:val="2"/>
          </w:tcPr>
          <w:p w:rsidR="007D7F2D" w:rsidRDefault="00D85BDD" w:rsidP="000062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DE4ADA">
              <w:rPr>
                <w:rFonts w:eastAsia="Times New Roman" w:cs="Arial"/>
                <w:bCs/>
                <w:sz w:val="20"/>
                <w:szCs w:val="20"/>
              </w:rPr>
              <w:t>Finish Guided Reading. It is due on Wednesday.</w:t>
            </w:r>
          </w:p>
          <w:p w:rsidR="002E1DF5" w:rsidRPr="002E1DF5" w:rsidRDefault="002E1DF5" w:rsidP="000062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research sources and </w:t>
            </w:r>
            <w:r w:rsidR="00006237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notes. They are due on 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Friday, November 14, 2014. </w:t>
            </w:r>
          </w:p>
        </w:tc>
        <w:tc>
          <w:tcPr>
            <w:tcW w:w="2542" w:type="dxa"/>
          </w:tcPr>
          <w:p w:rsidR="00785C1B" w:rsidRPr="00785C1B" w:rsidRDefault="00443697" w:rsidP="0000623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Finish Guided Reading. It is due on Wednesday.</w:t>
            </w:r>
          </w:p>
          <w:p w:rsidR="007D7F2D" w:rsidRPr="002E1DF5" w:rsidRDefault="002E1DF5" w:rsidP="0000623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t>Work on your National History Day research sources</w:t>
            </w:r>
            <w:r w:rsidR="00006237">
              <w:rPr>
                <w:rFonts w:eastAsia="Times New Roman" w:cs="Arial"/>
                <w:bCs/>
                <w:sz w:val="20"/>
                <w:szCs w:val="20"/>
              </w:rPr>
              <w:t xml:space="preserve"> and notes. They </w:t>
            </w:r>
            <w:r w:rsidR="00006237">
              <w:rPr>
                <w:rFonts w:eastAsia="Times New Roman" w:cs="Arial"/>
                <w:bCs/>
                <w:sz w:val="20"/>
                <w:szCs w:val="20"/>
              </w:rPr>
              <w:lastRenderedPageBreak/>
              <w:t>are due on</w:t>
            </w:r>
            <w:r w:rsidRPr="002E1DF5">
              <w:rPr>
                <w:rFonts w:eastAsia="Times New Roman" w:cs="Arial"/>
                <w:bCs/>
                <w:sz w:val="20"/>
                <w:szCs w:val="20"/>
              </w:rPr>
              <w:t xml:space="preserve"> Friday, November 14, 2014.</w:t>
            </w:r>
          </w:p>
        </w:tc>
        <w:tc>
          <w:tcPr>
            <w:tcW w:w="2775" w:type="dxa"/>
          </w:tcPr>
          <w:p w:rsidR="002E1DF5" w:rsidRDefault="00443697" w:rsidP="0000623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Complete Guided Reading. It is due on Friday.</w:t>
            </w:r>
          </w:p>
          <w:p w:rsidR="007D7F2D" w:rsidRPr="002E1DF5" w:rsidRDefault="002E1DF5" w:rsidP="0000623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research sources </w:t>
            </w:r>
            <w:r w:rsidR="00006237">
              <w:rPr>
                <w:rFonts w:eastAsia="Times New Roman" w:cs="Arial"/>
                <w:bCs/>
                <w:sz w:val="20"/>
                <w:szCs w:val="20"/>
              </w:rPr>
              <w:t xml:space="preserve">and notes. They are due on </w:t>
            </w:r>
            <w:r w:rsidRPr="002E1DF5">
              <w:rPr>
                <w:rFonts w:eastAsia="Times New Roman" w:cs="Arial"/>
                <w:bCs/>
                <w:sz w:val="20"/>
                <w:szCs w:val="20"/>
              </w:rPr>
              <w:t>Friday, November 14, 2014.</w:t>
            </w:r>
          </w:p>
        </w:tc>
        <w:tc>
          <w:tcPr>
            <w:tcW w:w="2658" w:type="dxa"/>
          </w:tcPr>
          <w:p w:rsidR="007D7F2D" w:rsidRPr="00443697" w:rsidRDefault="00A017D8" w:rsidP="0000623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3697">
              <w:rPr>
                <w:sz w:val="20"/>
                <w:szCs w:val="20"/>
              </w:rPr>
              <w:t>Finish Guided Reading Assignment</w:t>
            </w:r>
            <w:r w:rsidR="00443697" w:rsidRPr="00443697">
              <w:rPr>
                <w:sz w:val="20"/>
                <w:szCs w:val="20"/>
              </w:rPr>
              <w:t>. It due tomorrow.</w:t>
            </w:r>
          </w:p>
          <w:p w:rsidR="00443697" w:rsidRPr="00443697" w:rsidRDefault="00443697" w:rsidP="0000623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3697"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research </w:t>
            </w:r>
            <w:r w:rsidRPr="00443697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sources and notes. They are due </w:t>
            </w:r>
            <w:r w:rsidR="00006237">
              <w:rPr>
                <w:rFonts w:eastAsia="Times New Roman" w:cs="Arial"/>
                <w:bCs/>
                <w:sz w:val="20"/>
                <w:szCs w:val="20"/>
              </w:rPr>
              <w:t>tomorrow</w:t>
            </w:r>
            <w:r w:rsidRPr="00443697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:rsidR="002E1DF5" w:rsidRPr="002E1DF5" w:rsidRDefault="002E1DF5" w:rsidP="0000623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Review your notes, organize your notebook, </w:t>
            </w:r>
            <w:r w:rsidR="00C71CC3">
              <w:rPr>
                <w:rFonts w:eastAsia="Times New Roman" w:cs="Arial"/>
                <w:bCs/>
                <w:sz w:val="20"/>
                <w:szCs w:val="20"/>
              </w:rPr>
              <w:t xml:space="preserve">and 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update your table of contents.  </w:t>
            </w:r>
          </w:p>
        </w:tc>
      </w:tr>
    </w:tbl>
    <w:p w:rsidR="00A72192" w:rsidRDefault="00A72192" w:rsidP="003F4B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:rsidR="00941AFB" w:rsidRPr="00FD732A" w:rsidRDefault="00941AFB" w:rsidP="003F4B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FD732A">
        <w:rPr>
          <w:rFonts w:eastAsia="Times New Roman" w:cs="Times New Roman"/>
          <w:b/>
          <w:sz w:val="20"/>
          <w:szCs w:val="20"/>
          <w:u w:val="single"/>
        </w:rPr>
        <w:t xml:space="preserve">Reminders:  </w:t>
      </w:r>
    </w:p>
    <w:p w:rsidR="0032587F" w:rsidRPr="00FD732A" w:rsidRDefault="00FD732A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FD732A">
        <w:rPr>
          <w:rFonts w:eastAsia="Times New Roman" w:cs="Times New Roman"/>
          <w:sz w:val="20"/>
          <w:szCs w:val="20"/>
        </w:rPr>
        <w:t>Monday, November 10, 2014 - Pass back and review American Revolution 4.5 Assessment.</w:t>
      </w:r>
    </w:p>
    <w:p w:rsidR="00FD732A" w:rsidRDefault="00A72192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72192">
        <w:rPr>
          <w:rFonts w:eastAsia="Times New Roman" w:cs="Times New Roman"/>
          <w:sz w:val="20"/>
          <w:szCs w:val="20"/>
        </w:rPr>
        <w:t>Thursday, Lab time for NHD research and work.</w:t>
      </w:r>
    </w:p>
    <w:p w:rsidR="00D85BDD" w:rsidRDefault="00D85BDD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Friday, November 14</w:t>
      </w:r>
      <w:r w:rsidRPr="00D85BDD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>, 2014 – HND Research Sources &amp; Notes Due; at least 5 different primary and secondary sources.</w:t>
      </w:r>
    </w:p>
    <w:p w:rsidR="00BE6330" w:rsidRDefault="00BE6330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Monday, November 17</w:t>
      </w:r>
      <w:r w:rsidRPr="00BE6330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– Lesson Focus Abraham Baldwin and William Few; homework – test study guide (History of Georgia Test (H1-H4))</w:t>
      </w:r>
    </w:p>
    <w:p w:rsidR="00BE6330" w:rsidRDefault="00BE6330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Wednesday, November 19</w:t>
      </w:r>
      <w:r w:rsidRPr="00BE6330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– Students will take History of Georgia Test (H1-H4)</w:t>
      </w:r>
    </w:p>
    <w:p w:rsidR="00BE6330" w:rsidRDefault="00BE6330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Thursday, November 20</w:t>
      </w:r>
      <w:r w:rsidRPr="00BE6330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– Begin Government</w:t>
      </w:r>
    </w:p>
    <w:p w:rsidR="00BE6330" w:rsidRPr="00BE6330" w:rsidRDefault="00BE6330" w:rsidP="0000623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Thanksgiving Break Assignment???</w:t>
      </w:r>
    </w:p>
    <w:sectPr w:rsidR="00BE6330" w:rsidRPr="00BE6330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2DF"/>
    <w:multiLevelType w:val="hybridMultilevel"/>
    <w:tmpl w:val="B954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7ED"/>
    <w:multiLevelType w:val="hybridMultilevel"/>
    <w:tmpl w:val="0B2864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F4A99"/>
    <w:multiLevelType w:val="hybridMultilevel"/>
    <w:tmpl w:val="9A0E7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55E05"/>
    <w:multiLevelType w:val="hybridMultilevel"/>
    <w:tmpl w:val="D8EEC8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22791"/>
    <w:multiLevelType w:val="hybridMultilevel"/>
    <w:tmpl w:val="BF6E77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84185"/>
    <w:multiLevelType w:val="hybridMultilevel"/>
    <w:tmpl w:val="83E8EE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41CD1"/>
    <w:multiLevelType w:val="hybridMultilevel"/>
    <w:tmpl w:val="78C24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6B1DBA"/>
    <w:multiLevelType w:val="hybridMultilevel"/>
    <w:tmpl w:val="FA7401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E7A18"/>
    <w:multiLevelType w:val="hybridMultilevel"/>
    <w:tmpl w:val="FBB87B94"/>
    <w:lvl w:ilvl="0" w:tplc="1EF4DBE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3A72C0A"/>
    <w:multiLevelType w:val="hybridMultilevel"/>
    <w:tmpl w:val="B5805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1ED9"/>
    <w:multiLevelType w:val="hybridMultilevel"/>
    <w:tmpl w:val="2FF096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83B68"/>
    <w:multiLevelType w:val="hybridMultilevel"/>
    <w:tmpl w:val="567062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06237"/>
    <w:rsid w:val="00012550"/>
    <w:rsid w:val="00012C85"/>
    <w:rsid w:val="0001461D"/>
    <w:rsid w:val="00026AD0"/>
    <w:rsid w:val="0003142A"/>
    <w:rsid w:val="00031F3C"/>
    <w:rsid w:val="00056121"/>
    <w:rsid w:val="00062A85"/>
    <w:rsid w:val="000701AC"/>
    <w:rsid w:val="0009251C"/>
    <w:rsid w:val="000A17A4"/>
    <w:rsid w:val="000A471C"/>
    <w:rsid w:val="000B0A89"/>
    <w:rsid w:val="000B148A"/>
    <w:rsid w:val="000B1C08"/>
    <w:rsid w:val="000B603A"/>
    <w:rsid w:val="000B6431"/>
    <w:rsid w:val="000B6B2B"/>
    <w:rsid w:val="000C33A6"/>
    <w:rsid w:val="000D29D9"/>
    <w:rsid w:val="000D4FE7"/>
    <w:rsid w:val="000E105E"/>
    <w:rsid w:val="000E2A74"/>
    <w:rsid w:val="000E38CC"/>
    <w:rsid w:val="000E42FF"/>
    <w:rsid w:val="00107E0A"/>
    <w:rsid w:val="001107A0"/>
    <w:rsid w:val="00110B96"/>
    <w:rsid w:val="00113E04"/>
    <w:rsid w:val="00115849"/>
    <w:rsid w:val="00126921"/>
    <w:rsid w:val="00130544"/>
    <w:rsid w:val="00140910"/>
    <w:rsid w:val="0014788A"/>
    <w:rsid w:val="00150063"/>
    <w:rsid w:val="001564D1"/>
    <w:rsid w:val="00160341"/>
    <w:rsid w:val="00182466"/>
    <w:rsid w:val="001867EC"/>
    <w:rsid w:val="00192D69"/>
    <w:rsid w:val="00194806"/>
    <w:rsid w:val="0019510C"/>
    <w:rsid w:val="001A1E4D"/>
    <w:rsid w:val="001B3580"/>
    <w:rsid w:val="001D313D"/>
    <w:rsid w:val="001D4FEA"/>
    <w:rsid w:val="001D6397"/>
    <w:rsid w:val="001F2AD5"/>
    <w:rsid w:val="001F2BA7"/>
    <w:rsid w:val="001F6305"/>
    <w:rsid w:val="0020762B"/>
    <w:rsid w:val="0021373B"/>
    <w:rsid w:val="0021425F"/>
    <w:rsid w:val="0021568C"/>
    <w:rsid w:val="00215712"/>
    <w:rsid w:val="00225017"/>
    <w:rsid w:val="00225606"/>
    <w:rsid w:val="00244C34"/>
    <w:rsid w:val="002502B9"/>
    <w:rsid w:val="00255E21"/>
    <w:rsid w:val="00255FDC"/>
    <w:rsid w:val="00256B55"/>
    <w:rsid w:val="0026252D"/>
    <w:rsid w:val="002717F4"/>
    <w:rsid w:val="00283368"/>
    <w:rsid w:val="00284231"/>
    <w:rsid w:val="002A17CA"/>
    <w:rsid w:val="002A7FF1"/>
    <w:rsid w:val="002B0E11"/>
    <w:rsid w:val="002B54F0"/>
    <w:rsid w:val="002B5555"/>
    <w:rsid w:val="002B58DA"/>
    <w:rsid w:val="002B79BD"/>
    <w:rsid w:val="002C475B"/>
    <w:rsid w:val="002C4F29"/>
    <w:rsid w:val="002C641C"/>
    <w:rsid w:val="002E1DF5"/>
    <w:rsid w:val="002E7375"/>
    <w:rsid w:val="002F068C"/>
    <w:rsid w:val="002F4378"/>
    <w:rsid w:val="00305943"/>
    <w:rsid w:val="00311908"/>
    <w:rsid w:val="0032587F"/>
    <w:rsid w:val="00333F1E"/>
    <w:rsid w:val="00345845"/>
    <w:rsid w:val="0035518B"/>
    <w:rsid w:val="00366C6F"/>
    <w:rsid w:val="00374AE8"/>
    <w:rsid w:val="003942D3"/>
    <w:rsid w:val="003951EB"/>
    <w:rsid w:val="003A269A"/>
    <w:rsid w:val="003C2249"/>
    <w:rsid w:val="003C709B"/>
    <w:rsid w:val="003E0B5A"/>
    <w:rsid w:val="003F4B7F"/>
    <w:rsid w:val="004064ED"/>
    <w:rsid w:val="004077CB"/>
    <w:rsid w:val="00410D66"/>
    <w:rsid w:val="004244F5"/>
    <w:rsid w:val="00442C38"/>
    <w:rsid w:val="00443697"/>
    <w:rsid w:val="0045397F"/>
    <w:rsid w:val="00462C1F"/>
    <w:rsid w:val="00462ED5"/>
    <w:rsid w:val="00467599"/>
    <w:rsid w:val="00467FA1"/>
    <w:rsid w:val="00493145"/>
    <w:rsid w:val="004975F5"/>
    <w:rsid w:val="004A3D7C"/>
    <w:rsid w:val="004A42AA"/>
    <w:rsid w:val="004B1F9D"/>
    <w:rsid w:val="004B5F3D"/>
    <w:rsid w:val="004B643C"/>
    <w:rsid w:val="004B6F1E"/>
    <w:rsid w:val="004B75E8"/>
    <w:rsid w:val="004C328E"/>
    <w:rsid w:val="004E12EE"/>
    <w:rsid w:val="004E2CAD"/>
    <w:rsid w:val="004E3796"/>
    <w:rsid w:val="004F29B3"/>
    <w:rsid w:val="00504EB5"/>
    <w:rsid w:val="00520DFC"/>
    <w:rsid w:val="005231FE"/>
    <w:rsid w:val="005247A2"/>
    <w:rsid w:val="00542988"/>
    <w:rsid w:val="00561D76"/>
    <w:rsid w:val="00572822"/>
    <w:rsid w:val="00575BFC"/>
    <w:rsid w:val="0058207E"/>
    <w:rsid w:val="00596489"/>
    <w:rsid w:val="005A2479"/>
    <w:rsid w:val="005B0901"/>
    <w:rsid w:val="005B0B6D"/>
    <w:rsid w:val="005C525D"/>
    <w:rsid w:val="005C5B7D"/>
    <w:rsid w:val="005D062E"/>
    <w:rsid w:val="005D1CAC"/>
    <w:rsid w:val="005D3FD8"/>
    <w:rsid w:val="005E4F80"/>
    <w:rsid w:val="00605FD0"/>
    <w:rsid w:val="00612513"/>
    <w:rsid w:val="006247E2"/>
    <w:rsid w:val="00624E0E"/>
    <w:rsid w:val="00626B78"/>
    <w:rsid w:val="00630EE7"/>
    <w:rsid w:val="00634B17"/>
    <w:rsid w:val="006524D3"/>
    <w:rsid w:val="0066549E"/>
    <w:rsid w:val="00666E67"/>
    <w:rsid w:val="0067228E"/>
    <w:rsid w:val="00685A0B"/>
    <w:rsid w:val="006A519D"/>
    <w:rsid w:val="006C4EF4"/>
    <w:rsid w:val="006C5AF4"/>
    <w:rsid w:val="006F30F5"/>
    <w:rsid w:val="006F5AB1"/>
    <w:rsid w:val="00702872"/>
    <w:rsid w:val="00720A8A"/>
    <w:rsid w:val="00723EF4"/>
    <w:rsid w:val="00726DED"/>
    <w:rsid w:val="007349BD"/>
    <w:rsid w:val="00734B26"/>
    <w:rsid w:val="007363E7"/>
    <w:rsid w:val="00737CC5"/>
    <w:rsid w:val="00740805"/>
    <w:rsid w:val="00753FCB"/>
    <w:rsid w:val="00766342"/>
    <w:rsid w:val="00766FA7"/>
    <w:rsid w:val="0077167B"/>
    <w:rsid w:val="00775750"/>
    <w:rsid w:val="00780B56"/>
    <w:rsid w:val="0078490E"/>
    <w:rsid w:val="00785B59"/>
    <w:rsid w:val="00785C1B"/>
    <w:rsid w:val="007942E1"/>
    <w:rsid w:val="00794AD4"/>
    <w:rsid w:val="007B1B59"/>
    <w:rsid w:val="007C180A"/>
    <w:rsid w:val="007D0082"/>
    <w:rsid w:val="007D7F2D"/>
    <w:rsid w:val="007E0EEF"/>
    <w:rsid w:val="007E4D12"/>
    <w:rsid w:val="007E755E"/>
    <w:rsid w:val="007F14E5"/>
    <w:rsid w:val="007F5FF1"/>
    <w:rsid w:val="00804D4A"/>
    <w:rsid w:val="00806BCD"/>
    <w:rsid w:val="00811957"/>
    <w:rsid w:val="0084363B"/>
    <w:rsid w:val="00844DB6"/>
    <w:rsid w:val="008460E8"/>
    <w:rsid w:val="0085273F"/>
    <w:rsid w:val="008565CC"/>
    <w:rsid w:val="00857D36"/>
    <w:rsid w:val="008815C1"/>
    <w:rsid w:val="008834B1"/>
    <w:rsid w:val="00887DA0"/>
    <w:rsid w:val="008A0393"/>
    <w:rsid w:val="008A2013"/>
    <w:rsid w:val="008B63D5"/>
    <w:rsid w:val="008C17B0"/>
    <w:rsid w:val="008C4D90"/>
    <w:rsid w:val="008C7279"/>
    <w:rsid w:val="008D18A3"/>
    <w:rsid w:val="008D2817"/>
    <w:rsid w:val="008E2C9F"/>
    <w:rsid w:val="009001B3"/>
    <w:rsid w:val="009001BD"/>
    <w:rsid w:val="00905D41"/>
    <w:rsid w:val="00931668"/>
    <w:rsid w:val="00941AFB"/>
    <w:rsid w:val="00941BC2"/>
    <w:rsid w:val="0094647E"/>
    <w:rsid w:val="00961693"/>
    <w:rsid w:val="00985E40"/>
    <w:rsid w:val="00994A46"/>
    <w:rsid w:val="00994C72"/>
    <w:rsid w:val="009A0165"/>
    <w:rsid w:val="009A5CA4"/>
    <w:rsid w:val="009B3755"/>
    <w:rsid w:val="009B5C5D"/>
    <w:rsid w:val="009C043C"/>
    <w:rsid w:val="009C627A"/>
    <w:rsid w:val="009D4119"/>
    <w:rsid w:val="009E12A6"/>
    <w:rsid w:val="009E4313"/>
    <w:rsid w:val="009F1E46"/>
    <w:rsid w:val="009F40EF"/>
    <w:rsid w:val="009F5999"/>
    <w:rsid w:val="00A017D8"/>
    <w:rsid w:val="00A105DD"/>
    <w:rsid w:val="00A108AA"/>
    <w:rsid w:val="00A22392"/>
    <w:rsid w:val="00A31958"/>
    <w:rsid w:val="00A360F3"/>
    <w:rsid w:val="00A427F1"/>
    <w:rsid w:val="00A4499A"/>
    <w:rsid w:val="00A60045"/>
    <w:rsid w:val="00A63513"/>
    <w:rsid w:val="00A72192"/>
    <w:rsid w:val="00A761CC"/>
    <w:rsid w:val="00A81E2F"/>
    <w:rsid w:val="00A8632F"/>
    <w:rsid w:val="00A96CFB"/>
    <w:rsid w:val="00AA1D1A"/>
    <w:rsid w:val="00AA20FD"/>
    <w:rsid w:val="00AA3083"/>
    <w:rsid w:val="00AA563B"/>
    <w:rsid w:val="00AA5757"/>
    <w:rsid w:val="00AB45FA"/>
    <w:rsid w:val="00AC2754"/>
    <w:rsid w:val="00AC759C"/>
    <w:rsid w:val="00AD36CA"/>
    <w:rsid w:val="00AD6879"/>
    <w:rsid w:val="00AD7FC3"/>
    <w:rsid w:val="00AF4EBD"/>
    <w:rsid w:val="00B016B2"/>
    <w:rsid w:val="00B05250"/>
    <w:rsid w:val="00B21D68"/>
    <w:rsid w:val="00B2684B"/>
    <w:rsid w:val="00B46D43"/>
    <w:rsid w:val="00B651B5"/>
    <w:rsid w:val="00B656E2"/>
    <w:rsid w:val="00B662E9"/>
    <w:rsid w:val="00B72257"/>
    <w:rsid w:val="00B81C53"/>
    <w:rsid w:val="00B862A0"/>
    <w:rsid w:val="00BA725B"/>
    <w:rsid w:val="00BB18BB"/>
    <w:rsid w:val="00BC44F0"/>
    <w:rsid w:val="00BD430C"/>
    <w:rsid w:val="00BE09E5"/>
    <w:rsid w:val="00BE3757"/>
    <w:rsid w:val="00BE5E8A"/>
    <w:rsid w:val="00BE6330"/>
    <w:rsid w:val="00BF3EED"/>
    <w:rsid w:val="00BF586C"/>
    <w:rsid w:val="00C00360"/>
    <w:rsid w:val="00C00E09"/>
    <w:rsid w:val="00C0112B"/>
    <w:rsid w:val="00C117A5"/>
    <w:rsid w:val="00C11B48"/>
    <w:rsid w:val="00C132FD"/>
    <w:rsid w:val="00C20C28"/>
    <w:rsid w:val="00C42896"/>
    <w:rsid w:val="00C4323C"/>
    <w:rsid w:val="00C45FCF"/>
    <w:rsid w:val="00C47E55"/>
    <w:rsid w:val="00C56507"/>
    <w:rsid w:val="00C66986"/>
    <w:rsid w:val="00C71CC3"/>
    <w:rsid w:val="00C762C4"/>
    <w:rsid w:val="00CA0A94"/>
    <w:rsid w:val="00CA445A"/>
    <w:rsid w:val="00CB35B3"/>
    <w:rsid w:val="00CB76B2"/>
    <w:rsid w:val="00CC7A1B"/>
    <w:rsid w:val="00CD3DE5"/>
    <w:rsid w:val="00CE128E"/>
    <w:rsid w:val="00CF764F"/>
    <w:rsid w:val="00D01581"/>
    <w:rsid w:val="00D178F5"/>
    <w:rsid w:val="00D22161"/>
    <w:rsid w:val="00D45DE4"/>
    <w:rsid w:val="00D730BA"/>
    <w:rsid w:val="00D77A20"/>
    <w:rsid w:val="00D83D88"/>
    <w:rsid w:val="00D85BDD"/>
    <w:rsid w:val="00D86B64"/>
    <w:rsid w:val="00DA1F5D"/>
    <w:rsid w:val="00DB518F"/>
    <w:rsid w:val="00DE3D68"/>
    <w:rsid w:val="00DE4ADA"/>
    <w:rsid w:val="00E106D9"/>
    <w:rsid w:val="00E11BEF"/>
    <w:rsid w:val="00E144DC"/>
    <w:rsid w:val="00E274E7"/>
    <w:rsid w:val="00E379CE"/>
    <w:rsid w:val="00E404A5"/>
    <w:rsid w:val="00E42A67"/>
    <w:rsid w:val="00E6614D"/>
    <w:rsid w:val="00E670E1"/>
    <w:rsid w:val="00E74424"/>
    <w:rsid w:val="00E752B5"/>
    <w:rsid w:val="00E8532D"/>
    <w:rsid w:val="00E87BE5"/>
    <w:rsid w:val="00EA23B2"/>
    <w:rsid w:val="00EA3002"/>
    <w:rsid w:val="00ED4B65"/>
    <w:rsid w:val="00EE3BD5"/>
    <w:rsid w:val="00EF1114"/>
    <w:rsid w:val="00F01A0F"/>
    <w:rsid w:val="00F0548E"/>
    <w:rsid w:val="00F06B3F"/>
    <w:rsid w:val="00F075B1"/>
    <w:rsid w:val="00F31742"/>
    <w:rsid w:val="00F367D3"/>
    <w:rsid w:val="00F7085A"/>
    <w:rsid w:val="00F725B2"/>
    <w:rsid w:val="00F744D5"/>
    <w:rsid w:val="00F86B64"/>
    <w:rsid w:val="00F94836"/>
    <w:rsid w:val="00F95594"/>
    <w:rsid w:val="00F96930"/>
    <w:rsid w:val="00F97820"/>
    <w:rsid w:val="00FA2604"/>
    <w:rsid w:val="00FA656F"/>
    <w:rsid w:val="00FA7804"/>
    <w:rsid w:val="00FA7A1E"/>
    <w:rsid w:val="00FB162F"/>
    <w:rsid w:val="00FB6A42"/>
    <w:rsid w:val="00FC0345"/>
    <w:rsid w:val="00FC5774"/>
    <w:rsid w:val="00FC6B04"/>
    <w:rsid w:val="00FD0EC9"/>
    <w:rsid w:val="00FD1EFA"/>
    <w:rsid w:val="00FD732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2014-11-09T23:00:00Z</cp:lastPrinted>
  <dcterms:created xsi:type="dcterms:W3CDTF">2014-11-17T15:04:00Z</dcterms:created>
  <dcterms:modified xsi:type="dcterms:W3CDTF">2014-11-17T15:04:00Z</dcterms:modified>
</cp:coreProperties>
</file>